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70ED" w14:textId="77777777" w:rsidR="00821A87" w:rsidRDefault="00821A87">
      <w:pPr>
        <w:ind w:left="1440"/>
        <w:jc w:val="center"/>
        <w:rPr>
          <w:rFonts w:ascii="Tahoma" w:eastAsia="Tahoma" w:hAnsi="Tahoma" w:cs="Tahoma"/>
          <w:b/>
          <w:color w:val="FAC709"/>
          <w:sz w:val="40"/>
          <w:szCs w:val="40"/>
        </w:rPr>
      </w:pPr>
    </w:p>
    <w:p w14:paraId="46D63AF8" w14:textId="77777777" w:rsidR="00821A87" w:rsidRDefault="00000000">
      <w:pPr>
        <w:ind w:left="1440"/>
        <w:jc w:val="center"/>
      </w:pPr>
      <w:r>
        <w:rPr>
          <w:rFonts w:ascii="Tahoma" w:eastAsia="Tahoma" w:hAnsi="Tahoma" w:cs="Tahoma"/>
          <w:b/>
          <w:color w:val="FAC709"/>
          <w:sz w:val="40"/>
          <w:szCs w:val="40"/>
        </w:rPr>
        <w:t>Fiche de formation</w:t>
      </w:r>
    </w:p>
    <w:tbl>
      <w:tblPr>
        <w:tblStyle w:val="a"/>
        <w:tblpPr w:leftFromText="180" w:rightFromText="180" w:vertAnchor="text" w:tblpXSpec="right" w:tblpY="1"/>
        <w:tblOverlap w:val="never"/>
        <w:tblW w:w="94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6877"/>
        <w:gridCol w:w="461"/>
      </w:tblGrid>
      <w:tr w:rsidR="00821A87" w14:paraId="6E374B26" w14:textId="77777777" w:rsidTr="003B737E">
        <w:trPr>
          <w:gridAfter w:val="1"/>
          <w:wAfter w:w="461" w:type="dxa"/>
          <w:trHeight w:val="366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3A11423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Titre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E4699" w14:textId="77777777" w:rsidR="00821A87" w:rsidRDefault="00000000" w:rsidP="003B737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 bases de la finance</w:t>
            </w:r>
          </w:p>
        </w:tc>
      </w:tr>
      <w:tr w:rsidR="00821A87" w14:paraId="61BDCB45" w14:textId="77777777" w:rsidTr="003B737E">
        <w:trPr>
          <w:gridAfter w:val="1"/>
          <w:wAfter w:w="461" w:type="dxa"/>
          <w:trHeight w:val="413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A4ADC7A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Mots-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90EEA" w14:textId="77777777" w:rsidR="00821A87" w:rsidRDefault="00000000" w:rsidP="003B737E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Valeur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temporaire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capitalisation et actualisation,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simples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composés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TAEG.</w:t>
            </w:r>
          </w:p>
        </w:tc>
      </w:tr>
      <w:tr w:rsidR="00821A87" w14:paraId="5843C6DC" w14:textId="77777777" w:rsidTr="003B737E">
        <w:trPr>
          <w:gridAfter w:val="1"/>
          <w:wAfter w:w="461" w:type="dxa"/>
          <w:trHeight w:val="405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92C12F9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Fourni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par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0AC6E" w14:textId="77777777" w:rsidR="00821A87" w:rsidRDefault="00000000" w:rsidP="003B737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821A87" w14:paraId="31D9BF00" w14:textId="77777777" w:rsidTr="003B737E">
        <w:trPr>
          <w:gridAfter w:val="1"/>
          <w:wAfter w:w="461" w:type="dxa"/>
          <w:trHeight w:val="426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B30CA07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Langue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33BCB" w14:textId="77777777" w:rsidR="00821A87" w:rsidRDefault="00000000" w:rsidP="003B737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Français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21A87" w14:paraId="08009FDF" w14:textId="77777777" w:rsidTr="003B737E">
        <w:trPr>
          <w:gridAfter w:val="1"/>
          <w:wAfter w:w="461" w:type="dxa"/>
          <w:trHeight w:val="1231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9813E31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B9373" w14:textId="77777777" w:rsidR="00821A87" w:rsidRDefault="00000000" w:rsidP="003B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Fournir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connaissances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base.</w:t>
            </w:r>
          </w:p>
          <w:p w14:paraId="0E947EB8" w14:textId="77777777" w:rsidR="00821A87" w:rsidRDefault="00000000" w:rsidP="003B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Faciliter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compréhension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1CE0772" w14:textId="77777777" w:rsidR="00821A87" w:rsidRDefault="00000000" w:rsidP="003B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Améliorer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capacités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prise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sphère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821A87" w14:paraId="4A0FD909" w14:textId="77777777" w:rsidTr="003B737E">
        <w:trPr>
          <w:gridAfter w:val="1"/>
          <w:wAfter w:w="461" w:type="dxa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B01E071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Résultats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l'apprentissage</w:t>
            </w:r>
            <w:proofErr w:type="spell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0BE5" w14:textId="77777777" w:rsidR="00821A87" w:rsidRDefault="00000000" w:rsidP="003B73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Reconnaître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base.</w:t>
            </w:r>
          </w:p>
          <w:p w14:paraId="1331168D" w14:textId="77777777" w:rsidR="00821A87" w:rsidRDefault="00000000" w:rsidP="003B73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Identifier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financières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capital initial, capital final,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3AE834" w14:textId="77777777" w:rsidR="00821A87" w:rsidRDefault="00000000" w:rsidP="003B73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Savoir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interpréter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signification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façons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d'exprimer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nominal,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TAEG.</w:t>
            </w:r>
          </w:p>
          <w:p w14:paraId="37EAE995" w14:textId="77777777" w:rsidR="00821A87" w:rsidRDefault="00000000" w:rsidP="003B73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Faciliter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finances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821A87" w14:paraId="51DB9005" w14:textId="77777777" w:rsidTr="003B737E">
        <w:trPr>
          <w:trHeight w:val="405"/>
          <w:jc w:val="right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5D061B4A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Domaine de formation </w:t>
            </w:r>
          </w:p>
          <w:p w14:paraId="4E51CABC" w14:textId="77777777" w:rsidR="00821A87" w:rsidRDefault="00821A87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7ADE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Alphabet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l’éducation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905780F" w14:textId="77777777" w:rsidR="00821A87" w:rsidRDefault="00000000" w:rsidP="003B737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821A87" w14:paraId="18522A27" w14:textId="77777777" w:rsidTr="003B737E">
        <w:trPr>
          <w:trHeight w:val="416"/>
          <w:jc w:val="right"/>
        </w:trPr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6F30EEF9" w14:textId="77777777" w:rsidR="00821A87" w:rsidRDefault="00821A87" w:rsidP="003B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CBA85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Prise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gestion financière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19C6817" w14:textId="77777777" w:rsidR="00821A87" w:rsidRDefault="00821A87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1A87" w14:paraId="66CD68A2" w14:textId="77777777" w:rsidTr="003B737E">
        <w:trPr>
          <w:trHeight w:val="408"/>
          <w:jc w:val="right"/>
        </w:trPr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327CDF2" w14:textId="77777777" w:rsidR="00821A87" w:rsidRDefault="00821A87" w:rsidP="003B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8419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 finances pour de bon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31C7BFD" w14:textId="77777777" w:rsidR="00821A87" w:rsidRDefault="00821A87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1A87" w14:paraId="7710EBDD" w14:textId="77777777" w:rsidTr="003B737E">
        <w:trPr>
          <w:gridAfter w:val="1"/>
          <w:wAfter w:w="461" w:type="dxa"/>
          <w:trHeight w:val="3773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133F2E1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Index du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98E62" w14:textId="77777777" w:rsidR="00821A87" w:rsidRDefault="00000000" w:rsidP="003B737E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MODULE 1.- LES BASES DE LA FINANCE</w:t>
            </w:r>
          </w:p>
          <w:p w14:paraId="30D82E21" w14:textId="77777777" w:rsidR="00821A87" w:rsidRDefault="00000000" w:rsidP="003B737E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financière ?</w:t>
            </w:r>
            <w:proofErr w:type="gramEnd"/>
          </w:p>
          <w:p w14:paraId="706E6A72" w14:textId="77777777" w:rsidR="00821A87" w:rsidRDefault="00000000" w:rsidP="003B737E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le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" et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financière.</w:t>
            </w:r>
          </w:p>
          <w:p w14:paraId="56F69C09" w14:textId="77777777" w:rsidR="00821A87" w:rsidRDefault="00000000" w:rsidP="003B737E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Pourquoi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temps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important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parlons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?</w:t>
            </w:r>
            <w:proofErr w:type="gramEnd"/>
          </w:p>
          <w:p w14:paraId="4DCCF297" w14:textId="77777777" w:rsidR="00821A87" w:rsidRDefault="00000000" w:rsidP="003B737E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4.- Capitalisation et actualisation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A836538" w14:textId="77777777" w:rsidR="00821A87" w:rsidRDefault="00000000" w:rsidP="003B737E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simple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DCEF16F" w14:textId="77777777" w:rsidR="00821A87" w:rsidRDefault="00000000" w:rsidP="003B737E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NIR et le TAEG ?</w:t>
            </w:r>
          </w:p>
        </w:tc>
      </w:tr>
      <w:tr w:rsidR="00821A87" w14:paraId="36B062DD" w14:textId="77777777" w:rsidTr="003B737E">
        <w:trPr>
          <w:gridAfter w:val="1"/>
          <w:wAfter w:w="461" w:type="dxa"/>
          <w:trHeight w:val="1264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F35747F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Développement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5AE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MODULE 1.- LES BASES DE LA FINANCE</w:t>
            </w:r>
          </w:p>
          <w:p w14:paraId="74BD9A02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CA289A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opération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financière ?</w:t>
            </w:r>
            <w:proofErr w:type="gramEnd"/>
          </w:p>
          <w:p w14:paraId="6E8468BF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très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réalisées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permanence dans le monde de la finance.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ouvrir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courant,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dépôt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d'épargne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contracter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prêt,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souscrire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plan de pension,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actions...</w:t>
            </w:r>
          </w:p>
          <w:p w14:paraId="68B34831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Fondamentalement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échange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moments.</w:t>
            </w:r>
          </w:p>
          <w:p w14:paraId="40E573B7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appelée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créancier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reçoit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appelée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l'emprunteur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essentiel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souligner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fournis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les deux parties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équivalents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tout moment.</w:t>
            </w:r>
          </w:p>
          <w:p w14:paraId="3D950D3F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29F498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entre le "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 et "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l'intérêt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opération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financière.</w:t>
            </w:r>
          </w:p>
          <w:p w14:paraId="5699225D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voulons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acquérir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 un prix.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prix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prêt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hypothécaire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argent (par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dépôt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exprimé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pourcentage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réfère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temps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s'applique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BC83E00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synonyme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chose ;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pourcentage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résultat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l'application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pourcentage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capital pendant la durée respective.</w:t>
            </w:r>
          </w:p>
          <w:p w14:paraId="5BFF5546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prêt de 10 000 € et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10 % par an,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1 000 € (10 % x 10 000 = 1 000 €), et je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paierai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total de 11 000 €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773F03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Pourquoi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 temps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important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parlons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?</w:t>
            </w:r>
            <w:proofErr w:type="gramEnd"/>
          </w:p>
          <w:p w14:paraId="12B9351A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expérience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prix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services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tendance à augmenter avec le temps.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conséquence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avec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1000 €,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aujourd'hui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 un an.</w:t>
            </w:r>
          </w:p>
          <w:p w14:paraId="6636E635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selon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moment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reçue.</w:t>
            </w:r>
          </w:p>
          <w:p w14:paraId="632A6F32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 inflation,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augmentation continue des prix dans le temps,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évident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se passe-t-il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situation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stabilité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prix,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l'absence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d'inflation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? Eh bien,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situation,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préférerions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maintenant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plutôt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d'attendre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an, car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1000 €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pourrions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acquérir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aujourd'hui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dans un an,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argent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aujourd'hui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pourrions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rentabiliser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1000 € et dans un an,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pourrions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récupérer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F8B93D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conséquent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date.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1000 € le 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janvier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1000 € le 15 mars.</w:t>
            </w:r>
          </w:p>
          <w:p w14:paraId="79E73E76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5424E3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4.- Capitalisation et actualisation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217E139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 capitalisation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renoncer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(en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plaçant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capital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élevé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28097E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souscrire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dépôt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institution financière et nous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récupérons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tard, plus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similaire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institution financière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capital et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récupère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tard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correspondants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001130B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Sur la capitalisation,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que :</w:t>
            </w:r>
            <w:proofErr w:type="gramEnd"/>
          </w:p>
          <w:p w14:paraId="744478E4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DEB240" w14:textId="77777777" w:rsidR="00821A87" w:rsidRDefault="00000000" w:rsidP="003B73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Capital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= capital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5768F89F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6CE84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Actualisation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escompte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cession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anticipée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reçoit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décote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2FD9E3C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encaisser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billet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anticipation" ;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billet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un document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exprime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date future. Si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voulons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date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d'échéance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apportons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billet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institution financière qui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avancera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appliquant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moment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prévu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6AC1613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d'escompte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s'effectue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manière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suivante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32D7AC2C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F4E296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A55CB9" w14:textId="77777777" w:rsidR="00821A87" w:rsidRDefault="00000000" w:rsidP="003B737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Capital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= Capital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Remise</w:t>
            </w:r>
          </w:p>
          <w:p w14:paraId="21E302F2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F4BA4F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l'actualisation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principal,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appelée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"mise à jour"(“updating”).</w:t>
            </w:r>
          </w:p>
          <w:p w14:paraId="739C2B9B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41E161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Intérêt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simple et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intérêt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composé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F701AAE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faire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simples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composés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0ABC7A41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Fondamentalement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simple,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uniquement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départ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éventuel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argent. En revanche, dans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composés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perçus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ajoutés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capital initial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nouveaux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raison,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fin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un capital plus important,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résultat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nettement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BAAB899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78AD22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supposons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voulons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faire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10.000 euros pendant 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simple de 10% par an.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</w:p>
          <w:p w14:paraId="3396CC64" w14:textId="77777777" w:rsidR="00821A87" w:rsidRDefault="00000000" w:rsidP="003B737E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: 1.000 euros (10% de 10.000 euros).</w:t>
            </w:r>
          </w:p>
          <w:p w14:paraId="3B2BE667" w14:textId="77777777" w:rsidR="00821A87" w:rsidRDefault="00000000" w:rsidP="003B737E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2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1 000 euros (10 % de 10 000 euros).</w:t>
            </w:r>
          </w:p>
          <w:p w14:paraId="1E32E199" w14:textId="77777777" w:rsidR="00821A87" w:rsidRDefault="00000000" w:rsidP="003B737E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3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1 000 euros (10 % de 10 000 euros).</w:t>
            </w:r>
          </w:p>
          <w:p w14:paraId="21057ECE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3 000 €.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1 000 euros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obtiendrions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10 % de 10 000 euros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 le capital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resterait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inchangé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à savoir les 10 000 euros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initiaux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(10 %)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appliqué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initial (10 000 euros).</w:t>
            </w:r>
          </w:p>
          <w:p w14:paraId="6ADE5E9A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Dans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pendant 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appliquant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10 %,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obtiendrait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</w:p>
          <w:p w14:paraId="6FE03BDE" w14:textId="77777777" w:rsidR="00821A87" w:rsidRDefault="00000000" w:rsidP="003B737E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1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1 000 euros (10 % de 10 000 euros).</w:t>
            </w:r>
          </w:p>
          <w:p w14:paraId="0865B2A8" w14:textId="77777777" w:rsidR="00821A87" w:rsidRDefault="00000000" w:rsidP="003B737E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2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1.100 euros (10% de 11.000 euros, car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ajoutons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1.000 euros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aux 10.000 euros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initiaux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40838603" w14:textId="77777777" w:rsidR="00821A87" w:rsidRDefault="00000000" w:rsidP="003B737E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3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1 210 euros (10% de 12 100 euros, car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ajoutons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aux 10 000 euros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initiaux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1 000 euros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et les 1 100 euros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2).</w:t>
            </w:r>
          </w:p>
          <w:p w14:paraId="10B8F6A9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3.310 euros,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obtenu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simple de 10% (3.000 euros).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s'explique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 fait que,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après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réinvestis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et,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conséquent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Bien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(10%), le capital initial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pas, car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augmente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ajoutant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perçus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précédente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2DB7582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37B3F9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le NIR et le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TAEG ?</w:t>
            </w:r>
            <w:proofErr w:type="gramEnd"/>
          </w:p>
          <w:p w14:paraId="6C0036B0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Dans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dépôts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hypothèques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NIR et du TAEG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indiquées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F3EF8F8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NIR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ominal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nterest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ate),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l'institution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reflète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prix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l'institution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payer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DE225D4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Il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les frais et les commissions,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périodicité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doit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nécessairement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D1E06D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TAEG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nnuel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ffectif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lobal),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NIR,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exprimé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pourcentage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selon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formule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mathématique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standardisée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nominal (NIR)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fréquence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mensuelle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trimestrielle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semestrielle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etc.), les frais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99B8819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le NIR et le TAEG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TAEG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en plus du NIR,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an, les frais et commissions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EC0DA09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conséquent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NIR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réalité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utile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n'inclut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éventuels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frais et commissions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revanche, le TAEG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très utile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consommateur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savoir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combien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rapporte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réellement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propose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conditions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non, et pour comparer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795287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dans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prêt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hypothécaire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NIR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indiquera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paierai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Le TAEG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m'indiquera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les frais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précisément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pourcentage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intéresse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 il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détail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coût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prêt,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le comparer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45FD4EB" w14:textId="77777777" w:rsidR="00821A87" w:rsidRDefault="00000000" w:rsidP="003B737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 deux concepts, NIR et TAEG,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officiels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approuvés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autorités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nationales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pays, bien que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géographie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appelés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différemment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B7806FA" w14:textId="77777777" w:rsidR="00821A87" w:rsidRDefault="00821A87" w:rsidP="003B737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21A87" w14:paraId="06BC123B" w14:textId="77777777" w:rsidTr="003B737E">
        <w:trPr>
          <w:gridAfter w:val="1"/>
          <w:wAfter w:w="461" w:type="dxa"/>
          <w:trHeight w:val="1275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7CD7B0C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Glossaire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F22" w14:textId="77777777" w:rsidR="00821A87" w:rsidRDefault="00000000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courus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représentent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monétaire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cumulé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résultant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temps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écoulée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44681AC" w14:textId="77777777" w:rsidR="00821A87" w:rsidRDefault="00821A87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E997C6" w14:textId="77777777" w:rsidR="00821A87" w:rsidRDefault="00000000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Capitalisation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renoncer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(en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l'investissant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d'obtenir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capital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élevé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F705D2C" w14:textId="77777777" w:rsidR="00821A87" w:rsidRDefault="00821A87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B33D73" w14:textId="77777777" w:rsidR="00821A87" w:rsidRDefault="00000000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L'escompte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cession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anticipée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reçu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l'escompte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491DCC" w14:textId="77777777" w:rsidR="00821A87" w:rsidRDefault="00821A87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08FDB6" w14:textId="77777777" w:rsidR="00821A87" w:rsidRDefault="00000000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NIR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(Nominal Interest Rate),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l'institution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reflète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prix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l'institution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prêter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payer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FA30D1" w14:textId="77777777" w:rsidR="00821A87" w:rsidRDefault="00000000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n'inclut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les frais et commissions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périodicité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obligatoirement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72FABF4" w14:textId="77777777" w:rsidR="00821A87" w:rsidRDefault="00821A87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E463F1" w14:textId="77777777" w:rsidR="00821A87" w:rsidRDefault="00000000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TAEG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TAEG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Annuel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Global),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NIR,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exprimé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pourcentage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selon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formule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mathématique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standardisée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nominal (NIR)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fréquence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mensuelle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trimestrielle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semestrielle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etc.), les frais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6DAE626" w14:textId="77777777" w:rsidR="00821A87" w:rsidRDefault="00821A87" w:rsidP="003B737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1A87" w14:paraId="70B78F64" w14:textId="77777777" w:rsidTr="003B737E">
        <w:trPr>
          <w:gridAfter w:val="1"/>
          <w:wAfter w:w="461" w:type="dxa"/>
          <w:trHeight w:val="2629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8140D6A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Auto-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évaluation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questions et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réponses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à choix multiples)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8D40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L'expression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temporaire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signifie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045E9FE7" w14:textId="77777777" w:rsidR="00821A87" w:rsidRDefault="00000000" w:rsidP="003B737E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liée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 moment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où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en disposer.</w:t>
            </w:r>
          </w:p>
          <w:p w14:paraId="3D29179E" w14:textId="77777777" w:rsidR="00821A87" w:rsidRDefault="00000000" w:rsidP="003B737E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fait de disposer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aujourd'hui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fait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C7BD2CD" w14:textId="77777777" w:rsidR="00821A87" w:rsidRDefault="00000000" w:rsidP="003B737E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capital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aujourd'hui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n'implique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possibilité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profit.</w:t>
            </w:r>
          </w:p>
          <w:p w14:paraId="6552EA79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Une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son argent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38FA024B" w14:textId="77777777" w:rsidR="00821A87" w:rsidRDefault="00000000" w:rsidP="003B737E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Est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créancier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A36C505" w14:textId="77777777" w:rsidR="00821A87" w:rsidRDefault="00000000" w:rsidP="003B737E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considérée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emprunteur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réellement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fait de prêt).</w:t>
            </w:r>
          </w:p>
          <w:p w14:paraId="52313F7C" w14:textId="77777777" w:rsidR="00821A87" w:rsidRDefault="00000000" w:rsidP="003B737E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5D5CC0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Cochez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bonne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réponse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concernant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prêt :</w:t>
            </w:r>
            <w:proofErr w:type="gramEnd"/>
          </w:p>
          <w:p w14:paraId="06BC1063" w14:textId="77777777" w:rsidR="00821A87" w:rsidRDefault="00000000" w:rsidP="003B737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 prix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payé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en plus du principal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du capital, pour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emprunter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pendant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donnée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7CD693F" w14:textId="77777777" w:rsidR="00821A87" w:rsidRDefault="00000000" w:rsidP="003B737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exprimés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pourcentage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E4B9A70" w14:textId="77777777" w:rsidR="00821A87" w:rsidRDefault="00000000" w:rsidP="003B737E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temps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faut pour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calculer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5707A9A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Le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TAEG :</w:t>
            </w:r>
            <w:proofErr w:type="gramEnd"/>
          </w:p>
          <w:p w14:paraId="571C3D76" w14:textId="77777777" w:rsidR="00821A87" w:rsidRDefault="00000000" w:rsidP="003B737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comparer les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produits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d'épargne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d'investissement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16EB7B3" w14:textId="77777777" w:rsidR="00821A87" w:rsidRDefault="00000000" w:rsidP="003B737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8A3414" w14:textId="77777777" w:rsidR="00821A87" w:rsidRDefault="00000000" w:rsidP="003B737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convenu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3FCCC64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Le TAEG d'un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prêt :</w:t>
            </w:r>
            <w:proofErr w:type="gramEnd"/>
          </w:p>
          <w:p w14:paraId="0439EC1A" w14:textId="77777777" w:rsidR="00821A87" w:rsidRDefault="00000000" w:rsidP="003B737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inclut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dans son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calcul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les commissions et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frais que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facture au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débiteur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D2357C5" w14:textId="77777777" w:rsidR="00821A87" w:rsidRDefault="00000000" w:rsidP="003B737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commissions et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FEAEE7F" w14:textId="77777777" w:rsidR="00821A87" w:rsidRDefault="00000000" w:rsidP="003B737E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nominal appliqué par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2CC2E04" w14:textId="77777777" w:rsidR="00821A87" w:rsidRDefault="00821A87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0E2BEB" w14:textId="77777777" w:rsidR="00821A87" w:rsidRDefault="00821A87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1A87" w14:paraId="5EA66F90" w14:textId="77777777" w:rsidTr="003B737E">
        <w:trPr>
          <w:gridAfter w:val="1"/>
          <w:wAfter w:w="461" w:type="dxa"/>
          <w:trHeight w:val="1216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D04D1EF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Bibliographie</w:t>
            </w:r>
            <w:proofErr w:type="spell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9929" w14:textId="77777777" w:rsidR="00821A87" w:rsidRDefault="00000000" w:rsidP="003B737E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t xml:space="preserve">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https://www.bbva.es/general/salud-financiera.html</w:t>
              </w:r>
            </w:hyperlink>
          </w:p>
          <w:p w14:paraId="2B5EA3D8" w14:textId="77777777" w:rsidR="00821A87" w:rsidRDefault="00000000" w:rsidP="003B737E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-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</w:t>
              </w:r>
            </w:hyperlink>
          </w:p>
          <w:p w14:paraId="68C06929" w14:textId="77777777" w:rsidR="00821A87" w:rsidRDefault="00000000" w:rsidP="003B737E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</w:t>
              </w:r>
            </w:hyperlink>
          </w:p>
          <w:p w14:paraId="388F45FA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0000FF"/>
                <w:u w:val="single"/>
              </w:rPr>
              <w:t xml:space="preserve">-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https://economipedia.com/?s=Intereses+devengados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</w:p>
          <w:p w14:paraId="6B7C59DD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-Pablo López, Andrés De.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Valoración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(3ª). Ed. CEURA</w:t>
            </w:r>
          </w:p>
          <w:p w14:paraId="1C906F85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-La Fuente Sánchez, Damián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De .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Operaciones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 Ed. CEURA</w:t>
            </w:r>
          </w:p>
          <w:p w14:paraId="6C12FB15" w14:textId="77777777" w:rsidR="00821A87" w:rsidRDefault="00000000" w:rsidP="003B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-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2F37568E" w14:textId="77777777" w:rsidR="00821A87" w:rsidRDefault="00000000" w:rsidP="003B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14:paraId="79005E39" w14:textId="77777777" w:rsidR="00821A87" w:rsidRDefault="00000000" w:rsidP="003B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 </w:t>
            </w:r>
          </w:p>
          <w:p w14:paraId="1E2BAC57" w14:textId="77777777" w:rsidR="00821A87" w:rsidRDefault="00000000" w:rsidP="003B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-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 </w:t>
            </w:r>
          </w:p>
          <w:p w14:paraId="0C7F545C" w14:textId="77777777" w:rsidR="00821A87" w:rsidRDefault="00000000" w:rsidP="003B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 </w:t>
            </w:r>
          </w:p>
          <w:p w14:paraId="0BD3FD3B" w14:textId="77777777" w:rsidR="00821A87" w:rsidRDefault="00000000" w:rsidP="003B737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</w:rPr>
              <w:t>-</w:t>
            </w: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https://www.rockethq.com/learn</w:t>
              </w:r>
            </w:hyperlink>
          </w:p>
        </w:tc>
      </w:tr>
      <w:tr w:rsidR="00821A87" w14:paraId="6FBC5B63" w14:textId="77777777" w:rsidTr="003B737E">
        <w:trPr>
          <w:gridAfter w:val="1"/>
          <w:wAfter w:w="461" w:type="dxa"/>
          <w:trHeight w:val="1389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212CAD2" w14:textId="77777777" w:rsidR="00821A87" w:rsidRDefault="00000000" w:rsidP="003B737E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Ressources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vidéos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, lien de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référence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629" w14:textId="77777777" w:rsidR="00821A87" w:rsidRDefault="00821A87" w:rsidP="003B737E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280AE385" w14:textId="4CF07F15" w:rsidR="00821A87" w:rsidRDefault="009878C8">
      <w:pPr>
        <w:shd w:val="clear" w:color="auto" w:fill="FFFFFF"/>
      </w:pPr>
      <w:r>
        <w:br w:type="textWrapping" w:clear="all"/>
      </w:r>
    </w:p>
    <w:sectPr w:rsidR="00821A87">
      <w:headerReference w:type="default" r:id="rId18"/>
      <w:footerReference w:type="default" r:id="rId19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9C86" w14:textId="77777777" w:rsidR="00274D14" w:rsidRDefault="00274D14">
      <w:r>
        <w:separator/>
      </w:r>
    </w:p>
  </w:endnote>
  <w:endnote w:type="continuationSeparator" w:id="0">
    <w:p w14:paraId="6AC5ADE7" w14:textId="77777777" w:rsidR="00274D14" w:rsidRDefault="0027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DE4" w14:textId="696B9553" w:rsidR="00520903" w:rsidRDefault="00520903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72063C" wp14:editId="4A10861A">
              <wp:simplePos x="0" y="0"/>
              <wp:positionH relativeFrom="page">
                <wp:posOffset>-19050</wp:posOffset>
              </wp:positionH>
              <wp:positionV relativeFrom="margin">
                <wp:posOffset>8606486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7D3C7" w14:textId="77777777" w:rsidR="00520903" w:rsidRDefault="00520903" w:rsidP="0052090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304370A" w14:textId="77777777" w:rsidR="00520903" w:rsidRDefault="00520903" w:rsidP="00520903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53C02185" w14:textId="77777777" w:rsidR="00520903" w:rsidRPr="00D1334F" w:rsidRDefault="00520903" w:rsidP="00520903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2063C" id="Grupo 4" o:spid="_x0000_s1026" style="position:absolute;margin-left:-1.5pt;margin-top:677.7pt;width:596.5pt;height:54.35pt;z-index:251660288;mso-position-horizontal-relative:page;mso-position-vertical-relative:margin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A7pP/l4wAAAA0BAAAPAAAAZHJzL2Rvd25yZXYueG1sTI/BasMwEETvhf6D2EJviazaDo1r&#10;OYTQ9hQKTQolN8Xa2CaWZCzFdv6+m1Nz250dZt/kq8m0bMDeN85KEPMIGNrS6cZWEn72H7NXYD4o&#10;q1XrLEq4oodV8fiQq0y70X7jsAsVoxDrMyWhDqHLOPdljUb5uevQ0u3keqMCrX3Fda9GCjctf4mi&#10;BTeqsfShVh1uaizPu4uR8DmqcR2L92F7Pm2uh3369bsVKOXz07R+AxZwCv9muOETOhTEdHQXqz1r&#10;JcxiqhJIj9M0AXZziGVE2pGmZJEI4EXO71sU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8mwTAAQAANQLAAAOAAAAAAAAAAAAAAAAADoCAABkcnMvZTJvRG9j&#10;LnhtbFBLAQItAAoAAAAAAAAAIQCPcl3qPtQAAD7UAAAUAAAAAAAAAAAAAAAAAGYGAABkcnMvbWVk&#10;aWEvaW1hZ2UxLnBuZ1BLAQItABQABgAIAAAAIQA7pP/l4wAAAA0BAAAPAAAAAAAAAAAAAAAAANba&#10;AABkcnMvZG93bnJldi54bWxQSwECLQAUAAYACAAAACEAqiYOvrwAAAAhAQAAGQAAAAAAAAAAAAAA&#10;AADm2wAAZHJzL19yZWxzL2Uyb0RvYy54bWwucmVsc1BLBQYAAAAABgAGAHwBAADZ3AAAAAA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F77D3C7" w14:textId="77777777" w:rsidR="00520903" w:rsidRDefault="00520903" w:rsidP="00520903">
                      <w:pPr>
                        <w:rPr>
                          <w:sz w:val="14"/>
                        </w:rPr>
                      </w:pPr>
                    </w:p>
                    <w:p w14:paraId="0304370A" w14:textId="77777777" w:rsidR="00520903" w:rsidRDefault="00520903" w:rsidP="00520903">
                      <w:pPr>
                        <w:rPr>
                          <w:sz w:val="15"/>
                        </w:rPr>
                      </w:pPr>
                    </w:p>
                    <w:p w14:paraId="53C02185" w14:textId="77777777" w:rsidR="00520903" w:rsidRPr="00D1334F" w:rsidRDefault="00520903" w:rsidP="00520903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14:paraId="30D3CA72" w14:textId="23C576CE" w:rsidR="009878C8" w:rsidRDefault="009878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A9F7" w14:textId="77777777" w:rsidR="00274D14" w:rsidRDefault="00274D14">
      <w:r>
        <w:separator/>
      </w:r>
    </w:p>
  </w:footnote>
  <w:footnote w:type="continuationSeparator" w:id="0">
    <w:p w14:paraId="2AD43FE9" w14:textId="77777777" w:rsidR="00274D14" w:rsidRDefault="0027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F5F6" w14:textId="77777777" w:rsidR="00821A87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1D02E022" wp14:editId="125D3845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68A94" w14:textId="77777777" w:rsidR="00821A87" w:rsidRDefault="00821A87"/>
  <w:p w14:paraId="015F09B1" w14:textId="77777777" w:rsidR="00821A87" w:rsidRDefault="00821A87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36037F14" w14:textId="77777777" w:rsidR="00821A87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3F2EE973" w14:textId="77777777" w:rsidR="00821A87" w:rsidRDefault="00821A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DE6"/>
    <w:multiLevelType w:val="multilevel"/>
    <w:tmpl w:val="08D07E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694E2F"/>
    <w:multiLevelType w:val="multilevel"/>
    <w:tmpl w:val="34C828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5602C"/>
    <w:multiLevelType w:val="multilevel"/>
    <w:tmpl w:val="7F7895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7702FE"/>
    <w:multiLevelType w:val="multilevel"/>
    <w:tmpl w:val="D8BAE3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D32F9"/>
    <w:multiLevelType w:val="multilevel"/>
    <w:tmpl w:val="856AB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3E1CBE"/>
    <w:multiLevelType w:val="multilevel"/>
    <w:tmpl w:val="C85E69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1B5105"/>
    <w:multiLevelType w:val="multilevel"/>
    <w:tmpl w:val="C0B69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D0771F"/>
    <w:multiLevelType w:val="multilevel"/>
    <w:tmpl w:val="626C66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C11203"/>
    <w:multiLevelType w:val="multilevel"/>
    <w:tmpl w:val="6F744B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47831193">
    <w:abstractNumId w:val="2"/>
  </w:num>
  <w:num w:numId="2" w16cid:durableId="902642419">
    <w:abstractNumId w:val="3"/>
  </w:num>
  <w:num w:numId="3" w16cid:durableId="1672830072">
    <w:abstractNumId w:val="0"/>
  </w:num>
  <w:num w:numId="4" w16cid:durableId="1266159898">
    <w:abstractNumId w:val="5"/>
  </w:num>
  <w:num w:numId="5" w16cid:durableId="627203285">
    <w:abstractNumId w:val="1"/>
  </w:num>
  <w:num w:numId="6" w16cid:durableId="574439362">
    <w:abstractNumId w:val="7"/>
  </w:num>
  <w:num w:numId="7" w16cid:durableId="1861619813">
    <w:abstractNumId w:val="4"/>
  </w:num>
  <w:num w:numId="8" w16cid:durableId="1312490919">
    <w:abstractNumId w:val="6"/>
  </w:num>
  <w:num w:numId="9" w16cid:durableId="1077361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87"/>
    <w:rsid w:val="00274D14"/>
    <w:rsid w:val="003B737E"/>
    <w:rsid w:val="00520903"/>
    <w:rsid w:val="00546FA8"/>
    <w:rsid w:val="00624D85"/>
    <w:rsid w:val="00821A87"/>
    <w:rsid w:val="009878C8"/>
    <w:rsid w:val="00D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86F89"/>
  <w15:docId w15:val="{0C649217-518A-4754-B14A-167730D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40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6834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vestopedia.com/guide-to-financial-literacy-4800530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conomipedia.com/?s=Intereses+devengados" TargetMode="External"/><Relationship Id="rId17" Type="http://schemas.openxmlformats.org/officeDocument/2006/relationships/hyperlink" Target="https://www.rockethq.com/lear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sonbanking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nzasparatodos.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nzai.org/" TargetMode="External"/><Relationship Id="rId10" Type="http://schemas.openxmlformats.org/officeDocument/2006/relationships/hyperlink" Target="https://www.edufinet.com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bbva.es/general/salud-financiera.html" TargetMode="External"/><Relationship Id="rId14" Type="http://schemas.openxmlformats.org/officeDocument/2006/relationships/hyperlink" Target="https://economictimes.indiatimes.com/defini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eJ5pucZRisWSOLrgS0rbN5r5A==">AMUW2mViK+/pXxvOx3pvBPHp/sdYF8tN6u+YoOc3zdOptG+vQS3rDstv3iiH6bo0T51rWr+lANxjT0BYMqp19isB+q5DstNnJaLhCfOp6hsgX2vwe9Z0pSkfIDzT+IHFoOadDR23wnfG3iQw3m8ToLFv67MUqeqIC9re65OZg1rkOEQf53hfBMkGqeM44+TjFlc70df7aHohb8PB2bv66rINJQxShySsSGquJq8ufEs2DAfGKzluxe3IxFbCV5hty4apAEudAldJiwbfMVleskbm/Groo8uC/P0Y5JbGiS2Eja2b7PQ8WGNtVVKbH5Ccewoo+pT64ZR4pLh5vGKsXGiJRScHXq4eoixa//VojLoATI8qVtrUyB1TuaSi+WNFfxQ99w+/xxpUgjIzDYF4HWZU0W3mASI6NfpPegnrFnyAI3yurRwwtGE+IYUghu2d73b3T3ahaXRiDhlfdFHeX2xWtSlEDBJLQLXrqMBuPv9U+uQpnpGzIJDs6R5v3cKAj+Z8cHjDsPp1hBFP1DyA+AWoDsjEy7xhtoIanIN08gvT5kuTo/9rvzt8Hkd0VBMURPEf2TSx/oU7BAS5oX76LGNFbvWTXovQif/MT3MErFUBe0VMio9+8yoB5ajWWmO6QBR7GwusvXJPgOTu1KqQpP9WETrGHs1Oq9ntMbSe2LXnpuhp5Ygoubg=</go:docsCustomData>
</go:gDocsCustomXmlDataStorage>
</file>

<file path=customXml/itemProps1.xml><?xml version="1.0" encoding="utf-8"?>
<ds:datastoreItem xmlns:ds="http://schemas.openxmlformats.org/officeDocument/2006/customXml" ds:itemID="{048A1FE9-9159-49CD-93F0-91AEA5FF6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2100</Words>
  <Characters>11975</Characters>
  <Application>Microsoft Office Word</Application>
  <DocSecurity>0</DocSecurity>
  <Lines>99</Lines>
  <Paragraphs>28</Paragraphs>
  <ScaleCrop>false</ScaleCrop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5</cp:revision>
  <dcterms:created xsi:type="dcterms:W3CDTF">2022-09-02T09:26:00Z</dcterms:created>
  <dcterms:modified xsi:type="dcterms:W3CDTF">2023-03-01T12:59:00Z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